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44E39" w14:textId="1194F038" w:rsidR="00EA438F" w:rsidRDefault="00EA438F" w:rsidP="00BA50FC">
      <w:pPr>
        <w:ind w:left="-1134"/>
        <w:rPr>
          <w:rFonts w:ascii="Arial" w:hAnsi="Arial" w:cs="Arial"/>
        </w:rPr>
      </w:pPr>
      <w:r w:rsidRPr="00384DFE">
        <w:rPr>
          <w:noProof/>
        </w:rPr>
        <w:drawing>
          <wp:anchor distT="0" distB="0" distL="114300" distR="114300" simplePos="0" relativeHeight="251667456" behindDoc="1" locked="0" layoutInCell="1" allowOverlap="1" wp14:anchorId="572FB4FA" wp14:editId="16FBA81D">
            <wp:simplePos x="0" y="0"/>
            <wp:positionH relativeFrom="column">
              <wp:posOffset>5673687</wp:posOffset>
            </wp:positionH>
            <wp:positionV relativeFrom="page">
              <wp:posOffset>124001</wp:posOffset>
            </wp:positionV>
            <wp:extent cx="838200" cy="888365"/>
            <wp:effectExtent l="0" t="0" r="0" b="6985"/>
            <wp:wrapNone/>
            <wp:docPr id="1708502903" name="Grafik 15">
              <a:extLst xmlns:a="http://schemas.openxmlformats.org/drawingml/2006/main">
                <a:ext uri="{FF2B5EF4-FFF2-40B4-BE49-F238E27FC236}">
                  <a16:creationId xmlns:a16="http://schemas.microsoft.com/office/drawing/2014/main" id="{9A89CF49-4177-A330-CFA1-287497B3A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5">
                      <a:extLst>
                        <a:ext uri="{FF2B5EF4-FFF2-40B4-BE49-F238E27FC236}">
                          <a16:creationId xmlns:a16="http://schemas.microsoft.com/office/drawing/2014/main" id="{9A89CF49-4177-A330-CFA1-287497B3A342}"/>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8200" cy="888365"/>
                    </a:xfrm>
                    <a:prstGeom prst="rect">
                      <a:avLst/>
                    </a:prstGeom>
                  </pic:spPr>
                </pic:pic>
              </a:graphicData>
            </a:graphic>
            <wp14:sizeRelH relativeFrom="page">
              <wp14:pctWidth>0</wp14:pctWidth>
            </wp14:sizeRelH>
            <wp14:sizeRelV relativeFrom="page">
              <wp14:pctHeight>0</wp14:pctHeight>
            </wp14:sizeRelV>
          </wp:anchor>
        </w:drawing>
      </w:r>
    </w:p>
    <w:p w14:paraId="265912E5" w14:textId="77777777" w:rsidR="00EA438F" w:rsidRDefault="00EA438F" w:rsidP="0081137C">
      <w:pPr>
        <w:rPr>
          <w:rFonts w:ascii="Arial" w:hAnsi="Arial" w:cs="Arial"/>
        </w:rPr>
      </w:pPr>
    </w:p>
    <w:p w14:paraId="5F60B602" w14:textId="4AA32DF5" w:rsidR="00A07C5F" w:rsidRDefault="00A07C5F" w:rsidP="00BA50FC">
      <w:pPr>
        <w:ind w:left="-993"/>
        <w:rPr>
          <w:rFonts w:ascii="Arial" w:hAnsi="Arial" w:cs="Arial"/>
        </w:rPr>
      </w:pPr>
    </w:p>
    <w:p w14:paraId="4A8CBB26" w14:textId="5F5481FE" w:rsidR="00322097" w:rsidRDefault="002957A3" w:rsidP="00322097">
      <w:pPr>
        <w:jc w:val="center"/>
        <w:rPr>
          <w:rFonts w:ascii="Arial" w:hAnsi="Arial" w:cs="Arial"/>
        </w:rPr>
      </w:pPr>
      <w:r>
        <w:rPr>
          <w:rFonts w:ascii="Arial" w:hAnsi="Arial" w:cs="Arial"/>
          <w:noProof/>
        </w:rPr>
        <w:drawing>
          <wp:inline distT="0" distB="0" distL="0" distR="0" wp14:anchorId="480BE289" wp14:editId="21F87162">
            <wp:extent cx="5760720" cy="3169920"/>
            <wp:effectExtent l="0" t="0" r="0" b="0"/>
            <wp:docPr id="12323196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19692" name="Grafik 1232319692"/>
                    <pic:cNvPicPr/>
                  </pic:nvPicPr>
                  <pic:blipFill>
                    <a:blip r:embed="rId8">
                      <a:extLst>
                        <a:ext uri="{28A0092B-C50C-407E-A947-70E740481C1C}">
                          <a14:useLocalDpi xmlns:a14="http://schemas.microsoft.com/office/drawing/2010/main" val="0"/>
                        </a:ext>
                      </a:extLst>
                    </a:blip>
                    <a:stretch>
                      <a:fillRect/>
                    </a:stretch>
                  </pic:blipFill>
                  <pic:spPr>
                    <a:xfrm>
                      <a:off x="0" y="0"/>
                      <a:ext cx="5760720" cy="3169920"/>
                    </a:xfrm>
                    <a:prstGeom prst="rect">
                      <a:avLst/>
                    </a:prstGeom>
                  </pic:spPr>
                </pic:pic>
              </a:graphicData>
            </a:graphic>
          </wp:inline>
        </w:drawing>
      </w:r>
    </w:p>
    <w:p w14:paraId="50AADC9C" w14:textId="34A32C1A" w:rsidR="00BA50FC" w:rsidRDefault="002957A3" w:rsidP="00322097">
      <w:pPr>
        <w:jc w:val="center"/>
        <w:rPr>
          <w:rFonts w:ascii="Arial" w:hAnsi="Arial" w:cs="Arial"/>
        </w:rPr>
      </w:pPr>
      <w:r>
        <w:rPr>
          <w:rFonts w:ascii="Arial" w:hAnsi="Arial" w:cs="Arial"/>
        </w:rPr>
        <w:t>Bildquelle: Screenshot ZDF.de</w:t>
      </w:r>
    </w:p>
    <w:p w14:paraId="403B0679" w14:textId="77777777" w:rsidR="002957A3" w:rsidRDefault="002957A3" w:rsidP="00322097">
      <w:pPr>
        <w:jc w:val="center"/>
        <w:rPr>
          <w:rFonts w:ascii="Arial" w:hAnsi="Arial" w:cs="Arial"/>
        </w:rPr>
      </w:pPr>
    </w:p>
    <w:p w14:paraId="55E540C5" w14:textId="77777777" w:rsidR="002957A3" w:rsidRPr="002957A3" w:rsidRDefault="002957A3" w:rsidP="002957A3">
      <w:pPr>
        <w:jc w:val="center"/>
        <w:rPr>
          <w:rFonts w:ascii="Arial" w:hAnsi="Arial" w:cs="Arial"/>
          <w:b/>
          <w:bCs/>
          <w:sz w:val="36"/>
          <w:szCs w:val="36"/>
        </w:rPr>
      </w:pPr>
      <w:r w:rsidRPr="002957A3">
        <w:rPr>
          <w:rFonts w:ascii="Arial" w:hAnsi="Arial" w:cs="Arial"/>
          <w:b/>
          <w:bCs/>
          <w:sz w:val="36"/>
          <w:szCs w:val="36"/>
        </w:rPr>
        <w:t xml:space="preserve">Brücken bauen statt Gräben ziehen: </w:t>
      </w:r>
    </w:p>
    <w:p w14:paraId="0CBC9E3C" w14:textId="36B44CDF" w:rsidR="002957A3" w:rsidRDefault="002957A3" w:rsidP="00322097">
      <w:pPr>
        <w:jc w:val="center"/>
        <w:rPr>
          <w:rFonts w:ascii="Arial" w:hAnsi="Arial" w:cs="Arial"/>
        </w:rPr>
      </w:pPr>
      <w:r w:rsidRPr="002957A3">
        <w:rPr>
          <w:rFonts w:ascii="Arial" w:hAnsi="Arial" w:cs="Arial"/>
          <w:b/>
          <w:bCs/>
          <w:sz w:val="36"/>
          <w:szCs w:val="36"/>
        </w:rPr>
        <w:t>Warum wir alle Talente am Arbeitsmarkt dringend brauchen</w:t>
      </w:r>
    </w:p>
    <w:p w14:paraId="4D1968CF" w14:textId="77777777" w:rsidR="002957A3" w:rsidRDefault="002957A3" w:rsidP="00322097">
      <w:pPr>
        <w:jc w:val="center"/>
        <w:rPr>
          <w:rFonts w:ascii="Arial" w:hAnsi="Arial" w:cs="Arial"/>
        </w:rPr>
      </w:pPr>
    </w:p>
    <w:p w14:paraId="13F47387" w14:textId="77777777" w:rsidR="00322097" w:rsidRDefault="00322097" w:rsidP="00322097">
      <w:pPr>
        <w:jc w:val="center"/>
        <w:rPr>
          <w:rFonts w:ascii="Arial" w:hAnsi="Arial" w:cs="Arial"/>
          <w:b/>
          <w:bCs/>
        </w:rPr>
      </w:pPr>
      <w:r>
        <w:rPr>
          <w:noProof/>
        </w:rPr>
        <w:drawing>
          <wp:inline distT="0" distB="0" distL="0" distR="0" wp14:anchorId="4D4E5DD0" wp14:editId="5271C58F">
            <wp:extent cx="894944" cy="894944"/>
            <wp:effectExtent l="0" t="0" r="635" b="635"/>
            <wp:docPr id="1337710944" name="Grafik 1" descr="Profil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ilbil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7033" cy="897033"/>
                    </a:xfrm>
                    <a:prstGeom prst="rect">
                      <a:avLst/>
                    </a:prstGeom>
                    <a:noFill/>
                    <a:ln>
                      <a:noFill/>
                    </a:ln>
                  </pic:spPr>
                </pic:pic>
              </a:graphicData>
            </a:graphic>
          </wp:inline>
        </w:drawing>
      </w:r>
    </w:p>
    <w:p w14:paraId="1B73D3F7" w14:textId="44C17ED1" w:rsidR="00322097" w:rsidRDefault="00322097" w:rsidP="00322097">
      <w:pPr>
        <w:jc w:val="center"/>
        <w:rPr>
          <w:rFonts w:ascii="Arial" w:hAnsi="Arial" w:cs="Arial"/>
          <w:sz w:val="20"/>
          <w:szCs w:val="20"/>
        </w:rPr>
      </w:pPr>
      <w:r w:rsidRPr="00224925">
        <w:rPr>
          <w:rFonts w:ascii="Arial" w:hAnsi="Arial" w:cs="Arial"/>
          <w:sz w:val="20"/>
          <w:szCs w:val="20"/>
        </w:rPr>
        <w:t xml:space="preserve">Rüdiger Frey / </w:t>
      </w:r>
      <w:r w:rsidR="002957A3">
        <w:rPr>
          <w:rFonts w:ascii="Arial" w:hAnsi="Arial" w:cs="Arial"/>
          <w:sz w:val="20"/>
          <w:szCs w:val="20"/>
        </w:rPr>
        <w:t>24</w:t>
      </w:r>
      <w:r>
        <w:rPr>
          <w:rFonts w:ascii="Arial" w:hAnsi="Arial" w:cs="Arial"/>
          <w:sz w:val="20"/>
          <w:szCs w:val="20"/>
        </w:rPr>
        <w:t>.0</w:t>
      </w:r>
      <w:r w:rsidR="002957A3">
        <w:rPr>
          <w:rFonts w:ascii="Arial" w:hAnsi="Arial" w:cs="Arial"/>
          <w:sz w:val="20"/>
          <w:szCs w:val="20"/>
        </w:rPr>
        <w:t>8</w:t>
      </w:r>
      <w:r>
        <w:rPr>
          <w:rFonts w:ascii="Arial" w:hAnsi="Arial" w:cs="Arial"/>
          <w:sz w:val="20"/>
          <w:szCs w:val="20"/>
        </w:rPr>
        <w:t>.2026</w:t>
      </w:r>
    </w:p>
    <w:p w14:paraId="5EE610C1" w14:textId="77777777" w:rsidR="002957A3" w:rsidRDefault="002957A3" w:rsidP="00322097">
      <w:pPr>
        <w:jc w:val="center"/>
        <w:rPr>
          <w:rFonts w:ascii="Arial" w:hAnsi="Arial" w:cs="Arial"/>
          <w:sz w:val="20"/>
          <w:szCs w:val="20"/>
        </w:rPr>
      </w:pPr>
    </w:p>
    <w:p w14:paraId="65375D43" w14:textId="77777777" w:rsidR="002957A3" w:rsidRPr="002957A3" w:rsidRDefault="002957A3" w:rsidP="002957A3">
      <w:pPr>
        <w:rPr>
          <w:rFonts w:ascii="Arial" w:hAnsi="Arial" w:cs="Arial"/>
          <w:sz w:val="20"/>
          <w:szCs w:val="20"/>
        </w:rPr>
      </w:pPr>
      <w:r w:rsidRPr="002957A3">
        <w:rPr>
          <w:rFonts w:ascii="Arial" w:hAnsi="Arial" w:cs="Arial"/>
          <w:sz w:val="20"/>
          <w:szCs w:val="20"/>
        </w:rPr>
        <w:t>Die demografische Uhr tickt unaufhaltsam: Bis 2035 verliert Deutschland rund 7 Millionen Erwerbstätige – das entspricht 16 % unserer gesamten Arbeitnehmerschaft. Angesichts dieses massiven Fachkräftemangels stellt sich eine existenzielle Frage: Wie soll unsere Wirtschaft in Zukunft funktionieren, wenn wir diese Lücke nicht füllen?</w:t>
      </w:r>
    </w:p>
    <w:p w14:paraId="1801CFA6" w14:textId="77777777" w:rsidR="002957A3" w:rsidRPr="002957A3" w:rsidRDefault="002957A3" w:rsidP="002957A3">
      <w:pPr>
        <w:rPr>
          <w:rFonts w:ascii="Arial" w:hAnsi="Arial" w:cs="Arial"/>
          <w:sz w:val="20"/>
          <w:szCs w:val="20"/>
        </w:rPr>
      </w:pPr>
      <w:r w:rsidRPr="002957A3">
        <w:rPr>
          <w:rFonts w:ascii="Arial" w:hAnsi="Arial" w:cs="Arial"/>
          <w:sz w:val="20"/>
          <w:szCs w:val="20"/>
        </w:rPr>
        <w:t>In der ZDF-Sendung „SARAH TACKE“ zum Thema „Die neue Rente: Mehr arbeiten, mehr zahlen, weniger Leistung?“ wurde heftig über die finanzielle Zukunft der Altersvorsorge debattiert. Doch abseits des politischen Schlagabtauschs zeigte sich ein wertvoller Konsens für breite gesellschaftliche Zustimmung, als die Praxis das Wort ergriff.</w:t>
      </w:r>
    </w:p>
    <w:p w14:paraId="0D4E839E" w14:textId="77777777" w:rsidR="002957A3" w:rsidRPr="002957A3" w:rsidRDefault="002957A3" w:rsidP="002957A3">
      <w:pPr>
        <w:rPr>
          <w:rFonts w:ascii="Arial" w:hAnsi="Arial" w:cs="Arial"/>
          <w:sz w:val="20"/>
          <w:szCs w:val="20"/>
        </w:rPr>
      </w:pPr>
      <w:hyperlink r:id="rId10" w:history="1">
        <w:r w:rsidRPr="002957A3">
          <w:rPr>
            <w:rStyle w:val="Hyperlink"/>
            <w:rFonts w:ascii="Arial" w:hAnsi="Arial" w:cs="Arial"/>
            <w:b/>
            <w:bCs/>
            <w:sz w:val="20"/>
            <w:szCs w:val="20"/>
          </w:rPr>
          <w:t xml:space="preserve">Angelika Kindt, </w:t>
        </w:r>
        <w:proofErr w:type="spellStart"/>
        <w:r w:rsidRPr="002957A3">
          <w:rPr>
            <w:rStyle w:val="Hyperlink"/>
            <w:rFonts w:ascii="Arial" w:hAnsi="Arial" w:cs="Arial"/>
            <w:b/>
            <w:bCs/>
            <w:sz w:val="20"/>
            <w:szCs w:val="20"/>
          </w:rPr>
          <w:t>Dipl.Pol</w:t>
        </w:r>
        <w:proofErr w:type="spellEnd"/>
        <w:r w:rsidRPr="002957A3">
          <w:rPr>
            <w:rStyle w:val="Hyperlink"/>
            <w:rFonts w:ascii="Arial" w:hAnsi="Arial" w:cs="Arial"/>
            <w:b/>
            <w:bCs/>
            <w:sz w:val="20"/>
            <w:szCs w:val="20"/>
          </w:rPr>
          <w:t>.</w:t>
        </w:r>
      </w:hyperlink>
      <w:r w:rsidRPr="002957A3">
        <w:rPr>
          <w:rFonts w:ascii="Arial" w:hAnsi="Arial" w:cs="Arial"/>
          <w:sz w:val="20"/>
          <w:szCs w:val="20"/>
        </w:rPr>
        <w:t xml:space="preserve">, vielen auf LinkedIn als </w:t>
      </w:r>
      <w:proofErr w:type="spellStart"/>
      <w:r w:rsidRPr="002957A3">
        <w:rPr>
          <w:rFonts w:ascii="Arial" w:hAnsi="Arial" w:cs="Arial"/>
          <w:sz w:val="20"/>
          <w:szCs w:val="20"/>
        </w:rPr>
        <w:t>workingsilverlady</w:t>
      </w:r>
      <w:proofErr w:type="spellEnd"/>
      <w:r w:rsidRPr="002957A3">
        <w:rPr>
          <w:rFonts w:ascii="Arial" w:hAnsi="Arial" w:cs="Arial"/>
          <w:sz w:val="20"/>
          <w:szCs w:val="20"/>
        </w:rPr>
        <w:t xml:space="preserve"> gut bekannt, die mit 77 Jahren selbst weiter aktiv arbeitet und u. a. Führungskräfte coacht, brachte es auf den Punkt: Es geht um </w:t>
      </w:r>
    </w:p>
    <w:p w14:paraId="0257B131" w14:textId="39CF9CA1" w:rsidR="002957A3" w:rsidRPr="002957A3" w:rsidRDefault="002957A3" w:rsidP="002957A3">
      <w:pPr>
        <w:rPr>
          <w:rFonts w:ascii="Arial" w:hAnsi="Arial" w:cs="Arial"/>
          <w:sz w:val="20"/>
          <w:szCs w:val="20"/>
        </w:rPr>
      </w:pPr>
      <w:r w:rsidRPr="002957A3">
        <w:rPr>
          <w:rFonts w:ascii="Arial" w:hAnsi="Arial" w:cs="Arial"/>
          <w:noProof/>
        </w:rPr>
        <w:lastRenderedPageBreak/>
        <w:drawing>
          <wp:anchor distT="0" distB="0" distL="114300" distR="114300" simplePos="0" relativeHeight="251669504" behindDoc="1" locked="0" layoutInCell="1" allowOverlap="1" wp14:anchorId="6CB8AEB8" wp14:editId="03957023">
            <wp:simplePos x="0" y="0"/>
            <wp:positionH relativeFrom="column">
              <wp:posOffset>5657850</wp:posOffset>
            </wp:positionH>
            <wp:positionV relativeFrom="page">
              <wp:posOffset>124460</wp:posOffset>
            </wp:positionV>
            <wp:extent cx="838200" cy="888365"/>
            <wp:effectExtent l="0" t="0" r="0" b="6985"/>
            <wp:wrapNone/>
            <wp:docPr id="1626360771" name="Grafik 15">
              <a:extLst xmlns:a="http://schemas.openxmlformats.org/drawingml/2006/main">
                <a:ext uri="{FF2B5EF4-FFF2-40B4-BE49-F238E27FC236}">
                  <a16:creationId xmlns:a16="http://schemas.microsoft.com/office/drawing/2014/main" id="{9A89CF49-4177-A330-CFA1-287497B3A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5">
                      <a:extLst>
                        <a:ext uri="{FF2B5EF4-FFF2-40B4-BE49-F238E27FC236}">
                          <a16:creationId xmlns:a16="http://schemas.microsoft.com/office/drawing/2014/main" id="{9A89CF49-4177-A330-CFA1-287497B3A342}"/>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8200" cy="888365"/>
                    </a:xfrm>
                    <a:prstGeom prst="rect">
                      <a:avLst/>
                    </a:prstGeom>
                  </pic:spPr>
                </pic:pic>
              </a:graphicData>
            </a:graphic>
            <wp14:sizeRelH relativeFrom="page">
              <wp14:pctWidth>0</wp14:pctWidth>
            </wp14:sizeRelH>
            <wp14:sizeRelV relativeFrom="page">
              <wp14:pctHeight>0</wp14:pctHeight>
            </wp14:sizeRelV>
          </wp:anchor>
        </w:drawing>
      </w:r>
    </w:p>
    <w:p w14:paraId="0DE1B4F9" w14:textId="77777777" w:rsidR="002957A3" w:rsidRPr="002957A3" w:rsidRDefault="002957A3" w:rsidP="002957A3">
      <w:pPr>
        <w:rPr>
          <w:rFonts w:ascii="Arial" w:hAnsi="Arial" w:cs="Arial"/>
          <w:sz w:val="20"/>
          <w:szCs w:val="20"/>
        </w:rPr>
      </w:pPr>
    </w:p>
    <w:p w14:paraId="3BDF9965" w14:textId="77777777" w:rsidR="002957A3" w:rsidRPr="002957A3" w:rsidRDefault="002957A3" w:rsidP="002957A3">
      <w:pPr>
        <w:rPr>
          <w:rFonts w:ascii="Arial" w:hAnsi="Arial" w:cs="Arial"/>
          <w:sz w:val="20"/>
          <w:szCs w:val="20"/>
        </w:rPr>
      </w:pPr>
    </w:p>
    <w:p w14:paraId="587A289D" w14:textId="77777777" w:rsidR="002957A3" w:rsidRPr="002957A3" w:rsidRDefault="002957A3" w:rsidP="002957A3">
      <w:pPr>
        <w:rPr>
          <w:rFonts w:ascii="Arial" w:hAnsi="Arial" w:cs="Arial"/>
          <w:sz w:val="20"/>
          <w:szCs w:val="20"/>
        </w:rPr>
      </w:pPr>
    </w:p>
    <w:p w14:paraId="1887D3E5" w14:textId="0C0C8C97" w:rsidR="002957A3" w:rsidRPr="002957A3" w:rsidRDefault="002957A3" w:rsidP="002957A3">
      <w:pPr>
        <w:rPr>
          <w:rFonts w:ascii="Arial" w:hAnsi="Arial" w:cs="Arial"/>
          <w:sz w:val="20"/>
          <w:szCs w:val="20"/>
        </w:rPr>
      </w:pPr>
      <w:r w:rsidRPr="002957A3">
        <w:rPr>
          <w:rFonts w:ascii="Arial" w:hAnsi="Arial" w:cs="Arial"/>
          <w:sz w:val="20"/>
          <w:szCs w:val="20"/>
        </w:rPr>
        <w:t>Skills, lebenslange Neugierde und unermüdliches Engagement, das sich nicht von starren Altersgrenzen aufhalten lassen darf.</w:t>
      </w:r>
    </w:p>
    <w:p w14:paraId="2DD8C1B3" w14:textId="77777777" w:rsidR="002957A3" w:rsidRPr="002957A3" w:rsidRDefault="002957A3" w:rsidP="002957A3">
      <w:pPr>
        <w:rPr>
          <w:rFonts w:ascii="Arial" w:hAnsi="Arial" w:cs="Arial"/>
          <w:sz w:val="20"/>
          <w:szCs w:val="20"/>
        </w:rPr>
      </w:pPr>
      <w:r w:rsidRPr="002957A3">
        <w:rPr>
          <w:rFonts w:ascii="Arial" w:hAnsi="Arial" w:cs="Arial"/>
          <w:sz w:val="20"/>
          <w:szCs w:val="20"/>
        </w:rPr>
        <w:t xml:space="preserve">Ihr Impuls traf auf breite Zustimmung bei Ines Schwerdtner (Die Linke), Veronika Grimm (Mitglied des Sachverständigenrates zur Begutachtung der gesamtwirtschaftlichen Entwicklung) und der Moderatorin </w:t>
      </w:r>
      <w:hyperlink r:id="rId11" w:history="1">
        <w:r w:rsidRPr="002957A3">
          <w:rPr>
            <w:rStyle w:val="Hyperlink"/>
            <w:rFonts w:ascii="Arial" w:hAnsi="Arial" w:cs="Arial"/>
            <w:b/>
            <w:bCs/>
            <w:sz w:val="20"/>
            <w:szCs w:val="20"/>
          </w:rPr>
          <w:t>Sarah Tacke</w:t>
        </w:r>
      </w:hyperlink>
      <w:r w:rsidRPr="002957A3">
        <w:rPr>
          <w:rFonts w:ascii="Arial" w:hAnsi="Arial" w:cs="Arial"/>
          <w:sz w:val="20"/>
          <w:szCs w:val="20"/>
        </w:rPr>
        <w:t xml:space="preserve"> (ZDF) und schlug eine wichtige Brücke in der Debatte. Auch der stellvertretende Vorsitzende der Rentenkommission, </w:t>
      </w:r>
      <w:hyperlink r:id="rId12" w:history="1">
        <w:r w:rsidRPr="002957A3">
          <w:rPr>
            <w:rStyle w:val="Hyperlink"/>
            <w:rFonts w:ascii="Arial" w:hAnsi="Arial" w:cs="Arial"/>
            <w:b/>
            <w:bCs/>
            <w:sz w:val="20"/>
            <w:szCs w:val="20"/>
          </w:rPr>
          <w:t>Pascal Reddig</w:t>
        </w:r>
      </w:hyperlink>
      <w:r w:rsidRPr="002957A3">
        <w:rPr>
          <w:rFonts w:ascii="Arial" w:hAnsi="Arial" w:cs="Arial"/>
          <w:sz w:val="20"/>
          <w:szCs w:val="20"/>
        </w:rPr>
        <w:t xml:space="preserve"> (CDU), bestätigte in der Runde, dass die Wirtschaft etwas dafür tun muss, damit die Altersgruppe 50+ nach einer Kündigung eine echte Chance auf dem Arbeitsmarkt bekommt.</w:t>
      </w:r>
    </w:p>
    <w:p w14:paraId="6F8BAAC5" w14:textId="77777777" w:rsidR="002957A3" w:rsidRPr="002957A3" w:rsidRDefault="002957A3" w:rsidP="002957A3">
      <w:pPr>
        <w:rPr>
          <w:rFonts w:ascii="Arial" w:hAnsi="Arial" w:cs="Arial"/>
          <w:sz w:val="20"/>
          <w:szCs w:val="20"/>
        </w:rPr>
      </w:pPr>
      <w:r w:rsidRPr="002957A3">
        <w:rPr>
          <w:rFonts w:ascii="Arial" w:hAnsi="Arial" w:cs="Arial"/>
          <w:sz w:val="20"/>
          <w:szCs w:val="20"/>
        </w:rPr>
        <w:t>Denn die Realität ist ernüchternd: Die sogenannte Abgangsquote aus der Arbeitslosigkeit in eine neue Beschäftigung liegt in der Altersgruppe 55+ bei gerade einmal 2,5 % – das ist nur halb so hoch wie der Durchschnittswert über alle Altersgruppen hinweg.</w:t>
      </w:r>
    </w:p>
    <w:p w14:paraId="5C2330FD" w14:textId="77777777" w:rsidR="002957A3" w:rsidRPr="002957A3" w:rsidRDefault="002957A3" w:rsidP="002957A3">
      <w:pPr>
        <w:rPr>
          <w:rFonts w:ascii="Arial" w:hAnsi="Arial" w:cs="Arial"/>
          <w:sz w:val="20"/>
          <w:szCs w:val="20"/>
        </w:rPr>
      </w:pPr>
      <w:r w:rsidRPr="002957A3">
        <w:rPr>
          <w:rFonts w:ascii="Arial" w:hAnsi="Arial" w:cs="Arial"/>
          <w:sz w:val="20"/>
          <w:szCs w:val="20"/>
        </w:rPr>
        <w:t xml:space="preserve">Wenn wir die demografische Lücke schließen wollen, müssen die Unternehmen diesen Weg entschlossen mitgehen. Ich persönlich setze darauf, dass alle </w:t>
      </w:r>
      <w:proofErr w:type="spellStart"/>
      <w:proofErr w:type="gramStart"/>
      <w:r w:rsidRPr="002957A3">
        <w:rPr>
          <w:rFonts w:ascii="Arial" w:hAnsi="Arial" w:cs="Arial"/>
          <w:sz w:val="20"/>
          <w:szCs w:val="20"/>
        </w:rPr>
        <w:t>Diskussionsteilnehmer:innen</w:t>
      </w:r>
      <w:proofErr w:type="spellEnd"/>
      <w:proofErr w:type="gramEnd"/>
      <w:r w:rsidRPr="002957A3">
        <w:rPr>
          <w:rFonts w:ascii="Arial" w:hAnsi="Arial" w:cs="Arial"/>
          <w:sz w:val="20"/>
          <w:szCs w:val="20"/>
        </w:rPr>
        <w:t xml:space="preserve"> diesen Aspekt aktiv in ihrem Wirken deutlich und mit Nachdruck betonen.</w:t>
      </w:r>
    </w:p>
    <w:p w14:paraId="4D1B49A1" w14:textId="77777777" w:rsidR="002957A3" w:rsidRPr="002957A3" w:rsidRDefault="002957A3" w:rsidP="002957A3">
      <w:pPr>
        <w:rPr>
          <w:rFonts w:ascii="Arial" w:hAnsi="Arial" w:cs="Arial"/>
          <w:sz w:val="20"/>
          <w:szCs w:val="20"/>
        </w:rPr>
      </w:pPr>
      <w:r w:rsidRPr="002957A3">
        <w:rPr>
          <w:rFonts w:ascii="Arial" w:hAnsi="Arial" w:cs="Arial"/>
          <w:sz w:val="20"/>
          <w:szCs w:val="20"/>
        </w:rPr>
        <w:t>Der erste und wichtigste Schritt ist der Abbau künstlicher Hürden:</w:t>
      </w:r>
    </w:p>
    <w:p w14:paraId="2AE478A9" w14:textId="77777777" w:rsidR="002957A3" w:rsidRPr="002957A3" w:rsidRDefault="002957A3" w:rsidP="002957A3">
      <w:pPr>
        <w:numPr>
          <w:ilvl w:val="0"/>
          <w:numId w:val="26"/>
        </w:numPr>
        <w:rPr>
          <w:rFonts w:ascii="Arial" w:hAnsi="Arial" w:cs="Arial"/>
          <w:sz w:val="20"/>
          <w:szCs w:val="20"/>
        </w:rPr>
      </w:pPr>
      <w:r w:rsidRPr="002957A3">
        <w:rPr>
          <w:rFonts w:ascii="Segoe UI Emoji" w:hAnsi="Segoe UI Emoji" w:cs="Segoe UI Emoji"/>
          <w:sz w:val="20"/>
          <w:szCs w:val="20"/>
        </w:rPr>
        <w:t>🚫</w:t>
      </w:r>
      <w:r w:rsidRPr="002957A3">
        <w:rPr>
          <w:rFonts w:ascii="Arial" w:hAnsi="Arial" w:cs="Arial"/>
          <w:sz w:val="20"/>
          <w:szCs w:val="20"/>
        </w:rPr>
        <w:t xml:space="preserve"> Weg mit den Altersfiltern in ATS-Systemen! In vielen HR-Abteilungen sortieren automatisierte Bewerbermanagementsysteme ältere Talente oft schon vor der ersten Sichtung aus. Diese Filter müssen dringend deaktiviert werden.</w:t>
      </w:r>
    </w:p>
    <w:p w14:paraId="19F5B6B3" w14:textId="77777777" w:rsidR="002957A3" w:rsidRPr="002957A3" w:rsidRDefault="002957A3" w:rsidP="002957A3">
      <w:pPr>
        <w:numPr>
          <w:ilvl w:val="0"/>
          <w:numId w:val="26"/>
        </w:numPr>
        <w:rPr>
          <w:rFonts w:ascii="Arial" w:hAnsi="Arial" w:cs="Arial"/>
          <w:sz w:val="20"/>
          <w:szCs w:val="20"/>
        </w:rPr>
      </w:pPr>
      <w:r w:rsidRPr="002957A3">
        <w:rPr>
          <w:rFonts w:ascii="Segoe UI Emoji" w:hAnsi="Segoe UI Emoji" w:cs="Segoe UI Emoji"/>
          <w:sz w:val="20"/>
          <w:szCs w:val="20"/>
        </w:rPr>
        <w:t>💡</w:t>
      </w:r>
      <w:r w:rsidRPr="002957A3">
        <w:rPr>
          <w:rFonts w:ascii="Arial" w:hAnsi="Arial" w:cs="Arial"/>
          <w:sz w:val="20"/>
          <w:szCs w:val="20"/>
        </w:rPr>
        <w:t xml:space="preserve"> Erfahrung neu bewerten: Unternehmen müssen den Wert von Soft Skills, Mentoring-Fähigkeiten und Lebenserfahrung wieder als echten Wettbewerbsvorteil bei der Bewältigung des demografischen Wandels begreifen. Wichtig: Stellen einfach nur offen zu lassen, ist dabei keine wirkliche Option!</w:t>
      </w:r>
    </w:p>
    <w:p w14:paraId="026EB990" w14:textId="77777777" w:rsidR="002957A3" w:rsidRPr="002957A3" w:rsidRDefault="002957A3" w:rsidP="002957A3">
      <w:pPr>
        <w:numPr>
          <w:ilvl w:val="0"/>
          <w:numId w:val="26"/>
        </w:numPr>
        <w:rPr>
          <w:rFonts w:ascii="Arial" w:hAnsi="Arial" w:cs="Arial"/>
          <w:sz w:val="20"/>
          <w:szCs w:val="20"/>
        </w:rPr>
      </w:pPr>
      <w:r w:rsidRPr="002957A3">
        <w:rPr>
          <w:rFonts w:ascii="Segoe UI Emoji" w:hAnsi="Segoe UI Emoji" w:cs="Segoe UI Emoji"/>
          <w:sz w:val="20"/>
          <w:szCs w:val="20"/>
        </w:rPr>
        <w:t>💡</w:t>
      </w:r>
      <w:r w:rsidRPr="002957A3">
        <w:rPr>
          <w:rFonts w:ascii="Arial" w:hAnsi="Arial" w:cs="Arial"/>
          <w:sz w:val="20"/>
          <w:szCs w:val="20"/>
        </w:rPr>
        <w:t xml:space="preserve">Auf Weiterbildung setzen; Ja - natürlich; Re- und </w:t>
      </w:r>
      <w:proofErr w:type="spellStart"/>
      <w:r w:rsidRPr="002957A3">
        <w:rPr>
          <w:rFonts w:ascii="Arial" w:hAnsi="Arial" w:cs="Arial"/>
          <w:sz w:val="20"/>
          <w:szCs w:val="20"/>
        </w:rPr>
        <w:t>Upskillingmaßnahmen</w:t>
      </w:r>
      <w:proofErr w:type="spellEnd"/>
      <w:r w:rsidRPr="002957A3">
        <w:rPr>
          <w:rFonts w:ascii="Arial" w:hAnsi="Arial" w:cs="Arial"/>
          <w:sz w:val="20"/>
          <w:szCs w:val="20"/>
        </w:rPr>
        <w:t xml:space="preserve"> entfalten ihre Wirkung bekanntlich am besten dann, wenn es eine reelle Chance auf einen neuen Job gibt. Und unsere Arbeitswelt verändert sich gerade stärker als je zuvor. Dabei darf (und muss) sich jeder einbringen (dürfen!) </w:t>
      </w:r>
    </w:p>
    <w:p w14:paraId="6CD17631" w14:textId="77777777" w:rsidR="002957A3" w:rsidRPr="002957A3" w:rsidRDefault="002957A3" w:rsidP="002957A3">
      <w:pPr>
        <w:numPr>
          <w:ilvl w:val="0"/>
          <w:numId w:val="26"/>
        </w:numPr>
        <w:rPr>
          <w:rFonts w:ascii="Arial" w:hAnsi="Arial" w:cs="Arial"/>
          <w:sz w:val="20"/>
          <w:szCs w:val="20"/>
        </w:rPr>
      </w:pPr>
      <w:r w:rsidRPr="002957A3">
        <w:rPr>
          <w:rFonts w:ascii="Arial" w:hAnsi="Arial" w:cs="Arial"/>
          <w:sz w:val="20"/>
          <w:szCs w:val="20"/>
        </w:rPr>
        <w:t>Eine konkrete Forderung an die NWS (Nationale Weiterbildungsstrategie) ist deshalb das Monitoring von Neueinstellungen der Altersgruppe 55+ nach Beendigung von Weiterbildungsmaßnahmen.</w:t>
      </w:r>
    </w:p>
    <w:p w14:paraId="3AB02E70" w14:textId="7D305E5C" w:rsidR="002957A3" w:rsidRPr="002957A3" w:rsidRDefault="002957A3" w:rsidP="002957A3">
      <w:pPr>
        <w:rPr>
          <w:rFonts w:ascii="Arial" w:hAnsi="Arial" w:cs="Arial"/>
          <w:sz w:val="20"/>
          <w:szCs w:val="20"/>
        </w:rPr>
      </w:pPr>
      <w:r w:rsidRPr="002957A3">
        <w:rPr>
          <w:rFonts w:ascii="Arial" w:hAnsi="Arial" w:cs="Arial"/>
          <w:sz w:val="20"/>
          <w:szCs w:val="20"/>
        </w:rPr>
        <w:t xml:space="preserve">Eine zukunftsfähige Rentenreform umfasst weit mehr Aspekte, als in einer Talkshow mit begrenztem Zeitbudget besprochen werden können. Trotzdem vielen Dank ans </w:t>
      </w:r>
      <w:hyperlink r:id="rId13" w:history="1">
        <w:r w:rsidRPr="002957A3">
          <w:rPr>
            <w:rStyle w:val="Hyperlink"/>
            <w:rFonts w:ascii="Arial" w:hAnsi="Arial" w:cs="Arial"/>
            <w:b/>
            <w:bCs/>
            <w:sz w:val="20"/>
            <w:szCs w:val="20"/>
          </w:rPr>
          <w:t>ZDF</w:t>
        </w:r>
      </w:hyperlink>
      <w:r w:rsidRPr="002957A3">
        <w:rPr>
          <w:rFonts w:ascii="Arial" w:hAnsi="Arial" w:cs="Arial"/>
          <w:sz w:val="20"/>
          <w:szCs w:val="20"/>
        </w:rPr>
        <w:t xml:space="preserve"> und an </w:t>
      </w:r>
      <w:hyperlink r:id="rId14" w:history="1">
        <w:r w:rsidRPr="002957A3">
          <w:rPr>
            <w:rStyle w:val="Hyperlink"/>
            <w:rFonts w:ascii="Arial" w:hAnsi="Arial" w:cs="Arial"/>
            <w:b/>
            <w:bCs/>
            <w:sz w:val="20"/>
            <w:szCs w:val="20"/>
          </w:rPr>
          <w:t>Sarah Tacke</w:t>
        </w:r>
      </w:hyperlink>
      <w:r w:rsidRPr="002957A3">
        <w:rPr>
          <w:rFonts w:ascii="Arial" w:hAnsi="Arial" w:cs="Arial"/>
          <w:sz w:val="20"/>
          <w:szCs w:val="20"/>
        </w:rPr>
        <w:t>, um den Stein ins Rollen zu b</w:t>
      </w:r>
      <w:r w:rsidRPr="002957A3">
        <w:rPr>
          <w:rFonts w:ascii="Arial" w:hAnsi="Arial" w:cs="Arial"/>
          <w:sz w:val="20"/>
          <w:szCs w:val="20"/>
        </w:rPr>
        <w:t>r</w:t>
      </w:r>
      <w:r w:rsidRPr="002957A3">
        <w:rPr>
          <w:rFonts w:ascii="Arial" w:hAnsi="Arial" w:cs="Arial"/>
          <w:sz w:val="20"/>
          <w:szCs w:val="20"/>
        </w:rPr>
        <w:t>ingen.</w:t>
      </w:r>
    </w:p>
    <w:p w14:paraId="13F25A2E" w14:textId="49CABF4F" w:rsidR="002957A3" w:rsidRPr="002957A3" w:rsidRDefault="002957A3" w:rsidP="002957A3">
      <w:pPr>
        <w:rPr>
          <w:rFonts w:ascii="Arial" w:hAnsi="Arial" w:cs="Arial"/>
          <w:sz w:val="20"/>
          <w:szCs w:val="20"/>
        </w:rPr>
      </w:pPr>
      <w:r w:rsidRPr="002957A3">
        <w:rPr>
          <w:rFonts w:ascii="Arial" w:hAnsi="Arial" w:cs="Arial"/>
          <w:sz w:val="20"/>
          <w:szCs w:val="20"/>
        </w:rPr>
        <w:t>Und für die gro</w:t>
      </w:r>
      <w:r w:rsidRPr="002957A3">
        <w:rPr>
          <w:rFonts w:ascii="Arial" w:hAnsi="Arial" w:cs="Arial"/>
          <w:sz w:val="20"/>
          <w:szCs w:val="20"/>
        </w:rPr>
        <w:t>ß</w:t>
      </w:r>
      <w:r w:rsidRPr="002957A3">
        <w:rPr>
          <w:rFonts w:ascii="Arial" w:hAnsi="Arial" w:cs="Arial"/>
          <w:sz w:val="20"/>
          <w:szCs w:val="20"/>
        </w:rPr>
        <w:t>e Diskussion; lassen Sie uns aufhören, Gräben zu ziehen, und stattdessen Brücken bauen, um das Potenzial erfahrener Fachkräfte voll auszuschöpfen. Es lohnt sich; die Erkenntnisse dazu sind bereits da:</w:t>
      </w:r>
    </w:p>
    <w:p w14:paraId="537A41DE" w14:textId="77777777" w:rsidR="002957A3" w:rsidRPr="002957A3" w:rsidRDefault="002957A3" w:rsidP="002957A3">
      <w:pPr>
        <w:rPr>
          <w:rFonts w:ascii="Arial" w:hAnsi="Arial" w:cs="Arial"/>
          <w:sz w:val="20"/>
          <w:szCs w:val="20"/>
        </w:rPr>
      </w:pPr>
      <w:r w:rsidRPr="002957A3">
        <w:rPr>
          <w:rFonts w:ascii="Arial" w:hAnsi="Arial" w:cs="Arial"/>
          <w:sz w:val="20"/>
          <w:szCs w:val="20"/>
        </w:rPr>
        <w:t xml:space="preserve">Wir erzielen mit diesem Mindset-Wandel einen außerordentlich hohen Beitrag zur Stabilisierung der Sozialkassen – das </w:t>
      </w:r>
      <w:hyperlink r:id="rId15" w:history="1">
        <w:r w:rsidRPr="002957A3">
          <w:rPr>
            <w:rStyle w:val="Hyperlink"/>
            <w:rFonts w:ascii="Arial" w:hAnsi="Arial" w:cs="Arial"/>
            <w:b/>
            <w:bCs/>
            <w:sz w:val="20"/>
            <w:szCs w:val="20"/>
          </w:rPr>
          <w:t xml:space="preserve">ifo Institute – Leibniz Institute for </w:t>
        </w:r>
        <w:proofErr w:type="spellStart"/>
        <w:r w:rsidRPr="002957A3">
          <w:rPr>
            <w:rStyle w:val="Hyperlink"/>
            <w:rFonts w:ascii="Arial" w:hAnsi="Arial" w:cs="Arial"/>
            <w:b/>
            <w:bCs/>
            <w:sz w:val="20"/>
            <w:szCs w:val="20"/>
          </w:rPr>
          <w:t>Economic</w:t>
        </w:r>
        <w:proofErr w:type="spellEnd"/>
        <w:r w:rsidRPr="002957A3">
          <w:rPr>
            <w:rStyle w:val="Hyperlink"/>
            <w:rFonts w:ascii="Arial" w:hAnsi="Arial" w:cs="Arial"/>
            <w:b/>
            <w:bCs/>
            <w:sz w:val="20"/>
            <w:szCs w:val="20"/>
          </w:rPr>
          <w:t xml:space="preserve"> Research</w:t>
        </w:r>
      </w:hyperlink>
      <w:r w:rsidRPr="002957A3">
        <w:rPr>
          <w:rFonts w:ascii="Arial" w:hAnsi="Arial" w:cs="Arial"/>
          <w:sz w:val="20"/>
          <w:szCs w:val="20"/>
        </w:rPr>
        <w:t xml:space="preserve"> hat entsprechende Berechnungen bereits vorgelegt. Es spricht also alles dafür, das zu tun – wir müssen einfach jetzt damit anfangen!</w:t>
      </w:r>
    </w:p>
    <w:p w14:paraId="143DD378" w14:textId="77777777" w:rsidR="002957A3" w:rsidRPr="002957A3" w:rsidRDefault="002957A3" w:rsidP="002957A3">
      <w:pPr>
        <w:rPr>
          <w:rFonts w:ascii="Arial" w:hAnsi="Arial" w:cs="Arial"/>
          <w:sz w:val="20"/>
          <w:szCs w:val="20"/>
        </w:rPr>
      </w:pPr>
      <w:r w:rsidRPr="002957A3">
        <w:rPr>
          <w:rFonts w:ascii="Arial" w:hAnsi="Arial" w:cs="Arial"/>
          <w:sz w:val="20"/>
          <w:szCs w:val="20"/>
        </w:rPr>
        <w:t>Was sind Ihre Erfahrungen mit Altersfiltern oder dem Wiedereinstieg im Alter? Diskutieren Sie mit mir in den Kommentaren!</w:t>
      </w:r>
    </w:p>
    <w:p w14:paraId="22E652B3" w14:textId="77777777" w:rsidR="002957A3" w:rsidRPr="002957A3" w:rsidRDefault="002957A3" w:rsidP="002957A3">
      <w:pPr>
        <w:jc w:val="center"/>
        <w:rPr>
          <w:rFonts w:ascii="Arial" w:hAnsi="Arial" w:cs="Arial"/>
          <w:sz w:val="20"/>
          <w:szCs w:val="20"/>
        </w:rPr>
      </w:pPr>
      <w:r w:rsidRPr="002957A3">
        <w:rPr>
          <w:rFonts w:ascii="Arial" w:hAnsi="Arial" w:cs="Arial"/>
          <w:i/>
          <w:iCs/>
          <w:sz w:val="20"/>
          <w:szCs w:val="20"/>
        </w:rPr>
        <w:t>(Das Video zur Sendung verlinke ich im ersten Kommentar)</w:t>
      </w:r>
    </w:p>
    <w:p w14:paraId="7E0C1842" w14:textId="7B907D50" w:rsidR="00BA50FC" w:rsidRPr="002957A3" w:rsidRDefault="002957A3" w:rsidP="002957A3">
      <w:pPr>
        <w:jc w:val="center"/>
        <w:rPr>
          <w:rFonts w:ascii="Arial" w:hAnsi="Arial" w:cs="Arial"/>
          <w:sz w:val="20"/>
          <w:szCs w:val="20"/>
        </w:rPr>
      </w:pPr>
      <w:r w:rsidRPr="002957A3">
        <w:rPr>
          <w:rFonts w:ascii="Arial" w:hAnsi="Arial" w:cs="Arial"/>
          <w:sz w:val="20"/>
          <w:szCs w:val="20"/>
        </w:rPr>
        <w:t>#ZDFSarahTacke #AngelikaKindt #workingsilverlady #Arbeitsmarkt #Demografie #Diversity #Rentenreform #DiversityInHR #NWS #HRTech</w:t>
      </w:r>
    </w:p>
    <w:sectPr w:rsidR="00BA50FC" w:rsidRPr="002957A3" w:rsidSect="00B42C12">
      <w:headerReference w:type="even" r:id="rId16"/>
      <w:headerReference w:type="default" r:id="rId17"/>
      <w:footerReference w:type="even" r:id="rId18"/>
      <w:footerReference w:type="default" r:id="rId19"/>
      <w:headerReference w:type="first" r:id="rId20"/>
      <w:footerReference w:type="first" r:id="rId21"/>
      <w:pgSz w:w="11906" w:h="16838"/>
      <w:pgMar w:top="284"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8D8F6" w14:textId="77777777" w:rsidR="003B2876" w:rsidRDefault="003B2876" w:rsidP="00384DFE">
      <w:pPr>
        <w:spacing w:after="0" w:line="240" w:lineRule="auto"/>
      </w:pPr>
      <w:r>
        <w:separator/>
      </w:r>
    </w:p>
  </w:endnote>
  <w:endnote w:type="continuationSeparator" w:id="0">
    <w:p w14:paraId="7936BC0F" w14:textId="77777777" w:rsidR="003B2876" w:rsidRDefault="003B2876" w:rsidP="00384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E5F1" w14:textId="77777777" w:rsidR="00384DFE" w:rsidRDefault="00384D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7E59" w14:textId="7159D866" w:rsidR="00384DFE" w:rsidRPr="00384DFE" w:rsidRDefault="00384DFE">
    <w:pPr>
      <w:pStyle w:val="Fuzeile"/>
      <w:rPr>
        <w:color w:val="BFBFBF" w:themeColor="background1" w:themeShade="B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3EC6" w14:textId="77777777" w:rsidR="00384DFE" w:rsidRDefault="00384D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A860" w14:textId="77777777" w:rsidR="003B2876" w:rsidRDefault="003B2876" w:rsidP="00384DFE">
      <w:pPr>
        <w:spacing w:after="0" w:line="240" w:lineRule="auto"/>
      </w:pPr>
      <w:r>
        <w:separator/>
      </w:r>
    </w:p>
  </w:footnote>
  <w:footnote w:type="continuationSeparator" w:id="0">
    <w:p w14:paraId="0E65695D" w14:textId="77777777" w:rsidR="003B2876" w:rsidRDefault="003B2876" w:rsidP="00384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3E3A" w14:textId="77777777" w:rsidR="00384DFE" w:rsidRDefault="00384D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60387" w14:textId="77777777" w:rsidR="00384DFE" w:rsidRDefault="00384DF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664B" w14:textId="77777777" w:rsidR="00384DFE" w:rsidRDefault="00384D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D44"/>
    <w:multiLevelType w:val="multilevel"/>
    <w:tmpl w:val="4830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B3BA1"/>
    <w:multiLevelType w:val="multilevel"/>
    <w:tmpl w:val="8706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B0D2F"/>
    <w:multiLevelType w:val="multilevel"/>
    <w:tmpl w:val="EBD6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563C9"/>
    <w:multiLevelType w:val="multilevel"/>
    <w:tmpl w:val="D28A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C2DCB"/>
    <w:multiLevelType w:val="multilevel"/>
    <w:tmpl w:val="E4DA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81650"/>
    <w:multiLevelType w:val="multilevel"/>
    <w:tmpl w:val="7F0A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C4CDE"/>
    <w:multiLevelType w:val="multilevel"/>
    <w:tmpl w:val="5510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28508A"/>
    <w:multiLevelType w:val="multilevel"/>
    <w:tmpl w:val="12244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810D32"/>
    <w:multiLevelType w:val="multilevel"/>
    <w:tmpl w:val="B73E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92B2D"/>
    <w:multiLevelType w:val="multilevel"/>
    <w:tmpl w:val="5054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C217CD"/>
    <w:multiLevelType w:val="hybridMultilevel"/>
    <w:tmpl w:val="6CB02F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32018B5"/>
    <w:multiLevelType w:val="multilevel"/>
    <w:tmpl w:val="16D67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A04155"/>
    <w:multiLevelType w:val="multilevel"/>
    <w:tmpl w:val="2388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3A49DF"/>
    <w:multiLevelType w:val="multilevel"/>
    <w:tmpl w:val="4936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2C63A2"/>
    <w:multiLevelType w:val="multilevel"/>
    <w:tmpl w:val="1F04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F14BB7"/>
    <w:multiLevelType w:val="multilevel"/>
    <w:tmpl w:val="C9DA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16C86"/>
    <w:multiLevelType w:val="multilevel"/>
    <w:tmpl w:val="21A8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303C7E"/>
    <w:multiLevelType w:val="multilevel"/>
    <w:tmpl w:val="D0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D851BD"/>
    <w:multiLevelType w:val="multilevel"/>
    <w:tmpl w:val="F1FAB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5F1AF2"/>
    <w:multiLevelType w:val="multilevel"/>
    <w:tmpl w:val="D41C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0443AB"/>
    <w:multiLevelType w:val="multilevel"/>
    <w:tmpl w:val="6D16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B24D4C"/>
    <w:multiLevelType w:val="multilevel"/>
    <w:tmpl w:val="31EE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2E6A3D"/>
    <w:multiLevelType w:val="multilevel"/>
    <w:tmpl w:val="E448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7D1691"/>
    <w:multiLevelType w:val="multilevel"/>
    <w:tmpl w:val="DEA2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9E7286"/>
    <w:multiLevelType w:val="multilevel"/>
    <w:tmpl w:val="BCB03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1A07C7"/>
    <w:multiLevelType w:val="multilevel"/>
    <w:tmpl w:val="FFBC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644127">
    <w:abstractNumId w:val="25"/>
  </w:num>
  <w:num w:numId="2" w16cid:durableId="1845631199">
    <w:abstractNumId w:val="0"/>
  </w:num>
  <w:num w:numId="3" w16cid:durableId="1347749612">
    <w:abstractNumId w:val="18"/>
  </w:num>
  <w:num w:numId="4" w16cid:durableId="1444685724">
    <w:abstractNumId w:val="14"/>
  </w:num>
  <w:num w:numId="5" w16cid:durableId="1543863154">
    <w:abstractNumId w:val="11"/>
  </w:num>
  <w:num w:numId="6" w16cid:durableId="252861283">
    <w:abstractNumId w:val="8"/>
  </w:num>
  <w:num w:numId="7" w16cid:durableId="203177824">
    <w:abstractNumId w:val="22"/>
  </w:num>
  <w:num w:numId="8" w16cid:durableId="1981688039">
    <w:abstractNumId w:val="1"/>
  </w:num>
  <w:num w:numId="9" w16cid:durableId="2013797661">
    <w:abstractNumId w:val="4"/>
  </w:num>
  <w:num w:numId="10" w16cid:durableId="642345517">
    <w:abstractNumId w:val="7"/>
  </w:num>
  <w:num w:numId="11" w16cid:durableId="1885217366">
    <w:abstractNumId w:val="24"/>
  </w:num>
  <w:num w:numId="12" w16cid:durableId="510753132">
    <w:abstractNumId w:val="21"/>
  </w:num>
  <w:num w:numId="13" w16cid:durableId="619842331">
    <w:abstractNumId w:val="10"/>
  </w:num>
  <w:num w:numId="14" w16cid:durableId="210698278">
    <w:abstractNumId w:val="16"/>
  </w:num>
  <w:num w:numId="15" w16cid:durableId="1971668379">
    <w:abstractNumId w:val="17"/>
  </w:num>
  <w:num w:numId="16" w16cid:durableId="714351048">
    <w:abstractNumId w:val="2"/>
  </w:num>
  <w:num w:numId="17" w16cid:durableId="1504511097">
    <w:abstractNumId w:val="5"/>
  </w:num>
  <w:num w:numId="18" w16cid:durableId="1202278192">
    <w:abstractNumId w:val="3"/>
  </w:num>
  <w:num w:numId="19" w16cid:durableId="1793328543">
    <w:abstractNumId w:val="9"/>
  </w:num>
  <w:num w:numId="20" w16cid:durableId="411781293">
    <w:abstractNumId w:val="15"/>
  </w:num>
  <w:num w:numId="21" w16cid:durableId="821888113">
    <w:abstractNumId w:val="19"/>
  </w:num>
  <w:num w:numId="22" w16cid:durableId="1083994569">
    <w:abstractNumId w:val="20"/>
  </w:num>
  <w:num w:numId="23" w16cid:durableId="598611009">
    <w:abstractNumId w:val="23"/>
  </w:num>
  <w:num w:numId="24" w16cid:durableId="805703852">
    <w:abstractNumId w:val="13"/>
  </w:num>
  <w:num w:numId="25" w16cid:durableId="1681737522">
    <w:abstractNumId w:val="12"/>
  </w:num>
  <w:num w:numId="26" w16cid:durableId="7924073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37"/>
    <w:rsid w:val="0001010E"/>
    <w:rsid w:val="00021A1D"/>
    <w:rsid w:val="00073F7D"/>
    <w:rsid w:val="000F76EF"/>
    <w:rsid w:val="00117578"/>
    <w:rsid w:val="00120B43"/>
    <w:rsid w:val="00141760"/>
    <w:rsid w:val="001546C2"/>
    <w:rsid w:val="001661BC"/>
    <w:rsid w:val="001B0937"/>
    <w:rsid w:val="001B170F"/>
    <w:rsid w:val="001D0D1E"/>
    <w:rsid w:val="00204570"/>
    <w:rsid w:val="002133AD"/>
    <w:rsid w:val="00254E77"/>
    <w:rsid w:val="002957A3"/>
    <w:rsid w:val="002C3508"/>
    <w:rsid w:val="002D3C60"/>
    <w:rsid w:val="00322097"/>
    <w:rsid w:val="00347961"/>
    <w:rsid w:val="00384DFE"/>
    <w:rsid w:val="003B2876"/>
    <w:rsid w:val="003B69D8"/>
    <w:rsid w:val="00422AB5"/>
    <w:rsid w:val="00485189"/>
    <w:rsid w:val="00511AE2"/>
    <w:rsid w:val="005237CA"/>
    <w:rsid w:val="005960DA"/>
    <w:rsid w:val="005E7BBD"/>
    <w:rsid w:val="00601E63"/>
    <w:rsid w:val="006060AE"/>
    <w:rsid w:val="006E0096"/>
    <w:rsid w:val="00706713"/>
    <w:rsid w:val="007443E5"/>
    <w:rsid w:val="007706E5"/>
    <w:rsid w:val="00777DDB"/>
    <w:rsid w:val="0081137C"/>
    <w:rsid w:val="00823D6E"/>
    <w:rsid w:val="008861AE"/>
    <w:rsid w:val="008D3CEC"/>
    <w:rsid w:val="009B4D73"/>
    <w:rsid w:val="00A07C5F"/>
    <w:rsid w:val="00AB5FCB"/>
    <w:rsid w:val="00AC49EA"/>
    <w:rsid w:val="00B42C12"/>
    <w:rsid w:val="00BA50FC"/>
    <w:rsid w:val="00BE02BA"/>
    <w:rsid w:val="00C054A2"/>
    <w:rsid w:val="00C13E01"/>
    <w:rsid w:val="00C54FFA"/>
    <w:rsid w:val="00C856AB"/>
    <w:rsid w:val="00C93B67"/>
    <w:rsid w:val="00C9708C"/>
    <w:rsid w:val="00CB5F16"/>
    <w:rsid w:val="00D16607"/>
    <w:rsid w:val="00D2390B"/>
    <w:rsid w:val="00DC7BC5"/>
    <w:rsid w:val="00DC7FB3"/>
    <w:rsid w:val="00DD0CBD"/>
    <w:rsid w:val="00DD5640"/>
    <w:rsid w:val="00E848B4"/>
    <w:rsid w:val="00E927C2"/>
    <w:rsid w:val="00EA4139"/>
    <w:rsid w:val="00EA438F"/>
    <w:rsid w:val="00EA51FA"/>
    <w:rsid w:val="00F2643B"/>
    <w:rsid w:val="00F31479"/>
    <w:rsid w:val="00F46B09"/>
    <w:rsid w:val="00F54E0A"/>
    <w:rsid w:val="00FA5F71"/>
    <w:rsid w:val="00FD5F7D"/>
    <w:rsid w:val="00FF11BA"/>
    <w:rsid w:val="00FF50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E583D"/>
  <w15:chartTrackingRefBased/>
  <w15:docId w15:val="{B1AC7D38-4C39-4C57-BE7F-0BE79C71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B09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B09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B093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B093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B093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B093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B093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B093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B093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093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B093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B093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B093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B093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B093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093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093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0937"/>
    <w:rPr>
      <w:rFonts w:eastAsiaTheme="majorEastAsia" w:cstheme="majorBidi"/>
      <w:color w:val="272727" w:themeColor="text1" w:themeTint="D8"/>
    </w:rPr>
  </w:style>
  <w:style w:type="paragraph" w:styleId="Titel">
    <w:name w:val="Title"/>
    <w:basedOn w:val="Standard"/>
    <w:next w:val="Standard"/>
    <w:link w:val="TitelZchn"/>
    <w:uiPriority w:val="10"/>
    <w:qFormat/>
    <w:rsid w:val="001B0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093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093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093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093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B0937"/>
    <w:rPr>
      <w:i/>
      <w:iCs/>
      <w:color w:val="404040" w:themeColor="text1" w:themeTint="BF"/>
    </w:rPr>
  </w:style>
  <w:style w:type="paragraph" w:styleId="Listenabsatz">
    <w:name w:val="List Paragraph"/>
    <w:basedOn w:val="Standard"/>
    <w:uiPriority w:val="34"/>
    <w:qFormat/>
    <w:rsid w:val="001B0937"/>
    <w:pPr>
      <w:ind w:left="720"/>
      <w:contextualSpacing/>
    </w:pPr>
  </w:style>
  <w:style w:type="character" w:styleId="IntensiveHervorhebung">
    <w:name w:val="Intense Emphasis"/>
    <w:basedOn w:val="Absatz-Standardschriftart"/>
    <w:uiPriority w:val="21"/>
    <w:qFormat/>
    <w:rsid w:val="001B0937"/>
    <w:rPr>
      <w:i/>
      <w:iCs/>
      <w:color w:val="2F5496" w:themeColor="accent1" w:themeShade="BF"/>
    </w:rPr>
  </w:style>
  <w:style w:type="paragraph" w:styleId="IntensivesZitat">
    <w:name w:val="Intense Quote"/>
    <w:basedOn w:val="Standard"/>
    <w:next w:val="Standard"/>
    <w:link w:val="IntensivesZitatZchn"/>
    <w:uiPriority w:val="30"/>
    <w:qFormat/>
    <w:rsid w:val="001B09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B0937"/>
    <w:rPr>
      <w:i/>
      <w:iCs/>
      <w:color w:val="2F5496" w:themeColor="accent1" w:themeShade="BF"/>
    </w:rPr>
  </w:style>
  <w:style w:type="character" w:styleId="IntensiverVerweis">
    <w:name w:val="Intense Reference"/>
    <w:basedOn w:val="Absatz-Standardschriftart"/>
    <w:uiPriority w:val="32"/>
    <w:qFormat/>
    <w:rsid w:val="001B0937"/>
    <w:rPr>
      <w:b/>
      <w:bCs/>
      <w:smallCaps/>
      <w:color w:val="2F5496" w:themeColor="accent1" w:themeShade="BF"/>
      <w:spacing w:val="5"/>
    </w:rPr>
  </w:style>
  <w:style w:type="paragraph" w:styleId="Kopfzeile">
    <w:name w:val="header"/>
    <w:basedOn w:val="Standard"/>
    <w:link w:val="KopfzeileZchn"/>
    <w:uiPriority w:val="99"/>
    <w:unhideWhenUsed/>
    <w:rsid w:val="00384D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84DFE"/>
  </w:style>
  <w:style w:type="paragraph" w:styleId="Fuzeile">
    <w:name w:val="footer"/>
    <w:basedOn w:val="Standard"/>
    <w:link w:val="FuzeileZchn"/>
    <w:uiPriority w:val="99"/>
    <w:unhideWhenUsed/>
    <w:rsid w:val="00384D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84DFE"/>
  </w:style>
  <w:style w:type="paragraph" w:customStyle="1" w:styleId="Gesprchsbericht">
    <w:name w:val="Gesprächsbericht"/>
    <w:basedOn w:val="Standard"/>
    <w:qFormat/>
    <w:rsid w:val="006E0096"/>
    <w:pPr>
      <w:jc w:val="both"/>
    </w:pPr>
  </w:style>
  <w:style w:type="character" w:styleId="Hyperlink">
    <w:name w:val="Hyperlink"/>
    <w:basedOn w:val="Absatz-Standardschriftart"/>
    <w:uiPriority w:val="99"/>
    <w:unhideWhenUsed/>
    <w:rsid w:val="00DC7BC5"/>
    <w:rPr>
      <w:color w:val="0563C1" w:themeColor="hyperlink"/>
      <w:u w:val="single"/>
    </w:rPr>
  </w:style>
  <w:style w:type="character" w:styleId="NichtaufgelsteErwhnung">
    <w:name w:val="Unresolved Mention"/>
    <w:basedOn w:val="Absatz-Standardschriftart"/>
    <w:uiPriority w:val="99"/>
    <w:semiHidden/>
    <w:unhideWhenUsed/>
    <w:rsid w:val="00DC7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linkedin.com/company/z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s://www.linkedin.com/in/pascal-reddig-4b75101b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in/sarah-tacke-96673a210/" TargetMode="External"/><Relationship Id="rId5" Type="http://schemas.openxmlformats.org/officeDocument/2006/relationships/footnotes" Target="footnotes.xml"/><Relationship Id="rId15" Type="http://schemas.openxmlformats.org/officeDocument/2006/relationships/hyperlink" Target="https://www.linkedin.com/company/ifo-institute-for-economic-research/?lipi=urn%3Ali%3Apage%3Ad_flagship3_pulse_read%3Bdp3DR9z%2BTrmEirnrbfYHCw%3D%3D" TargetMode="External"/><Relationship Id="rId23" Type="http://schemas.openxmlformats.org/officeDocument/2006/relationships/theme" Target="theme/theme1.xml"/><Relationship Id="rId10" Type="http://schemas.openxmlformats.org/officeDocument/2006/relationships/hyperlink" Target="https://www.linkedin.com/in/kindt-workingsilverlady/"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linkedin.com/in/sarah-tacke-96673a210/"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4113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Rüdiger Frey</dc:creator>
  <cp:keywords/>
  <dc:description/>
  <cp:lastModifiedBy>Rüdiger Frey</cp:lastModifiedBy>
  <cp:revision>2</cp:revision>
  <cp:lastPrinted>2026-06-10T07:22:00Z</cp:lastPrinted>
  <dcterms:created xsi:type="dcterms:W3CDTF">2026-08-25T15:59:00Z</dcterms:created>
  <dcterms:modified xsi:type="dcterms:W3CDTF">2026-08-25T15:59:00Z</dcterms:modified>
</cp:coreProperties>
</file>